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2178"/>
        <w:gridCol w:w="8006"/>
      </w:tblGrid>
      <w:tr w:rsidR="002E6137">
        <w:tc>
          <w:tcPr>
            <w:tcW w:w="2178" w:type="dxa"/>
          </w:tcPr>
          <w:p w:rsidR="002E6137" w:rsidRDefault="00652523">
            <w:pPr>
              <w:pStyle w:val="Photos"/>
              <w:spacing w:before="600" w:line="2000" w:lineRule="exact"/>
              <w:ind w:left="0"/>
            </w:pPr>
            <w:bookmarkStart w:id="0" w:name="_GoBack"/>
            <w:bookmarkEnd w:id="0"/>
            <w:r>
              <w:drawing>
                <wp:anchor distT="0" distB="0" distL="114300" distR="114300" simplePos="0" relativeHeight="251658240" behindDoc="0" locked="0" layoutInCell="1" allowOverlap="1">
                  <wp:simplePos x="0" y="0"/>
                  <wp:positionH relativeFrom="column">
                    <wp:posOffset>58102</wp:posOffset>
                  </wp:positionH>
                  <wp:positionV relativeFrom="paragraph">
                    <wp:posOffset>57150</wp:posOffset>
                  </wp:positionV>
                  <wp:extent cx="1074420" cy="1343025"/>
                  <wp:effectExtent l="19050" t="0" r="0" b="0"/>
                  <wp:wrapNone/>
                  <wp:docPr id="1" name="Picture 1" descr="Dana Fitzsimmons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a Fitzsimmons_B&amp;W"/>
                          <pic:cNvPicPr>
                            <a:picLocks noChangeAspect="1" noChangeArrowheads="1"/>
                          </pic:cNvPicPr>
                        </pic:nvPicPr>
                        <pic:blipFill>
                          <a:blip r:embed="rId7" cstate="print">
                            <a:grayscl/>
                          </a:blip>
                          <a:stretch>
                            <a:fillRect/>
                          </a:stretch>
                        </pic:blipFill>
                        <pic:spPr bwMode="auto">
                          <a:xfrm>
                            <a:off x="0" y="0"/>
                            <a:ext cx="1074420" cy="1343025"/>
                          </a:xfrm>
                          <a:prstGeom prst="rect">
                            <a:avLst/>
                          </a:prstGeom>
                          <a:noFill/>
                          <a:ln w="9525">
                            <a:noFill/>
                            <a:miter lim="800000"/>
                            <a:headEnd/>
                            <a:tailEnd/>
                          </a:ln>
                        </pic:spPr>
                      </pic:pic>
                    </a:graphicData>
                  </a:graphic>
                </wp:anchor>
              </w:drawing>
            </w:r>
          </w:p>
        </w:tc>
        <w:tc>
          <w:tcPr>
            <w:tcW w:w="8006" w:type="dxa"/>
            <w:tcMar>
              <w:left w:w="0" w:type="dxa"/>
              <w:right w:w="0" w:type="dxa"/>
            </w:tcMar>
          </w:tcPr>
          <w:p w:rsidR="00296218" w:rsidRPr="00296218" w:rsidRDefault="00652523" w:rsidP="00296218">
            <w:pPr>
              <w:rPr>
                <w:rFonts w:ascii="Trade Gothic LT Std" w:hAnsi="Trade Gothic LT Std"/>
                <w:b/>
                <w:noProof/>
                <w:color w:val="2D6411"/>
                <w:sz w:val="21"/>
              </w:rPr>
            </w:pPr>
            <w:r w:rsidRPr="00652523">
              <w:rPr>
                <w:rFonts w:ascii="Trade Gothic LT Std" w:hAnsi="Trade Gothic LT Std"/>
                <w:b/>
                <w:noProof/>
                <w:color w:val="2D6411"/>
                <w:sz w:val="21"/>
              </w:rPr>
              <w:t xml:space="preserve">Dana G. Fitzsimons, Jr., </w:t>
            </w:r>
            <w:r w:rsidR="00334736">
              <w:rPr>
                <w:rFonts w:ascii="Trade Gothic LT Std" w:hAnsi="Trade Gothic LT Std"/>
                <w:b/>
                <w:noProof/>
                <w:color w:val="2D6411"/>
                <w:sz w:val="21"/>
              </w:rPr>
              <w:t>Principal</w:t>
            </w:r>
            <w:r w:rsidRPr="00652523">
              <w:rPr>
                <w:rFonts w:ascii="Trade Gothic LT Std" w:hAnsi="Trade Gothic LT Std"/>
                <w:b/>
                <w:noProof/>
                <w:color w:val="2D6411"/>
                <w:sz w:val="21"/>
              </w:rPr>
              <w:t xml:space="preserve"> and Fiduciary Counsel</w:t>
            </w:r>
            <w:r w:rsidRPr="00296218">
              <w:rPr>
                <w:rFonts w:ascii="Trade Gothic LT Std" w:hAnsi="Trade Gothic LT Std"/>
                <w:b/>
                <w:noProof/>
                <w:color w:val="2D6411"/>
                <w:sz w:val="21"/>
              </w:rPr>
              <w:t xml:space="preserve"> </w:t>
            </w:r>
          </w:p>
          <w:p w:rsidR="00601B3C" w:rsidRPr="00601B3C" w:rsidRDefault="00304825" w:rsidP="00601B3C">
            <w:pPr>
              <w:pStyle w:val="BioText"/>
            </w:pPr>
            <w:r>
              <w:t>Dan</w:t>
            </w:r>
            <w:r w:rsidR="00601B3C" w:rsidRPr="00601B3C">
              <w:t xml:space="preserve">a G. Fitzsimons Jr. is a </w:t>
            </w:r>
            <w:r w:rsidR="00334736">
              <w:t>Principal</w:t>
            </w:r>
            <w:r w:rsidR="00601B3C" w:rsidRPr="00601B3C">
              <w:t xml:space="preserve"> and Fiduciary Counsel with Bessemer Trust in Atlanta, Georgia. Prior to joining Bessemer Trust in 2012, Mr. Fitzsimons was a partner with McGuireWoods LLP, where he practiced in the areas of fiduciary litigation, estate planning, and fiduciary risk management. </w:t>
            </w:r>
          </w:p>
          <w:p w:rsidR="00601B3C" w:rsidRPr="00601B3C" w:rsidRDefault="00601B3C" w:rsidP="00601B3C">
            <w:pPr>
              <w:pStyle w:val="BioText"/>
            </w:pPr>
            <w:r w:rsidRPr="00601B3C">
              <w:t xml:space="preserve">Mr. Fitzsimons is a fellow of the American College of Trust and Estate Counsel, where he serves on the Business Planning, Fiduciary Litigation, and New Fellows Steering Committees, and was recognized in </w:t>
            </w:r>
            <w:r w:rsidRPr="00601B3C">
              <w:rPr>
                <w:i/>
                <w:iCs/>
              </w:rPr>
              <w:t>Chambers USA: America’s Leading Lawyers for Business</w:t>
            </w:r>
            <w:r w:rsidRPr="00601B3C">
              <w:t>. He is a member of the American Bar Association Real Property, Trust and Estate Law Section, has served in its committee leadership, and is a Section member of the National Conference of Lawyers and Corporate Fiduciaries. He has also served on the trusts and estates legislative committees in both Virginia and Georgia.</w:t>
            </w:r>
          </w:p>
          <w:p w:rsidR="00601B3C" w:rsidRPr="00601B3C" w:rsidRDefault="00601B3C" w:rsidP="00601B3C">
            <w:pPr>
              <w:pStyle w:val="BioText"/>
            </w:pPr>
            <w:r w:rsidRPr="00601B3C">
              <w:t xml:space="preserve">Mr. Fitzsimons has contributed articles to numerous publications including the </w:t>
            </w:r>
            <w:r w:rsidRPr="00601B3C">
              <w:rPr>
                <w:i/>
                <w:iCs/>
              </w:rPr>
              <w:t>ACTEC Journal, Probate and Property, Trusts &amp; Estates, Estate Planning, Trusts &amp; Investments</w:t>
            </w:r>
            <w:r w:rsidRPr="00601B3C">
              <w:t xml:space="preserve">, and the </w:t>
            </w:r>
            <w:r w:rsidRPr="00601B3C">
              <w:rPr>
                <w:i/>
                <w:iCs/>
              </w:rPr>
              <w:t>Leimberg Services Newsletters</w:t>
            </w:r>
            <w:r w:rsidRPr="00601B3C">
              <w:t xml:space="preserve">. He is a frequent lecturer across the country on fiduciary topics, including presentations to the Heckerling Institute on Estate Planning, the Southern Federal Tax Institute, the Midwest/Midsouth Estate Planning Institute, the ALI-ABA Advanced Estate Planning seminar, the University of Texas Tax Institute, the American Bankers Association Wealth Management and Trust Conference and national teleconferences, the Trust Advisors Forum at Pinehurst, and the Catholic Charities of Chicago Seminar. Mr. Fitzsimons has been quoted in publications such as </w:t>
            </w:r>
            <w:r w:rsidRPr="00601B3C">
              <w:rPr>
                <w:i/>
                <w:iCs/>
              </w:rPr>
              <w:t>The New York Times, The Wall Street Journal</w:t>
            </w:r>
            <w:r w:rsidRPr="00601B3C">
              <w:t xml:space="preserve">, and </w:t>
            </w:r>
            <w:r w:rsidRPr="00601B3C">
              <w:rPr>
                <w:i/>
                <w:iCs/>
              </w:rPr>
              <w:t>Forbes</w:t>
            </w:r>
            <w:r w:rsidRPr="00601B3C">
              <w:t>.</w:t>
            </w:r>
          </w:p>
          <w:p w:rsidR="00E85888" w:rsidRPr="00E02CB6" w:rsidRDefault="00601B3C" w:rsidP="00601B3C">
            <w:pPr>
              <w:rPr>
                <w:sz w:val="22"/>
                <w:szCs w:val="22"/>
              </w:rPr>
            </w:pPr>
            <w:r w:rsidRPr="00601B3C">
              <w:rPr>
                <w:rFonts w:eastAsia="Times New Roman"/>
                <w:color w:val="auto"/>
                <w:sz w:val="22"/>
              </w:rPr>
              <w:t>Mr. Fitzsimons received his J.D. from William &amp; Mary Law School, where he was a member of the law review and graduated Order of the Coif.  He obtained his Bachelor's degree in music from Ithaca College School of Music and continues to perform as a jazz drummer.</w:t>
            </w:r>
          </w:p>
          <w:p w:rsidR="00296218" w:rsidRPr="00652523" w:rsidRDefault="00296218" w:rsidP="002E72F3">
            <w:pPr>
              <w:pStyle w:val="BioText"/>
            </w:pPr>
          </w:p>
        </w:tc>
      </w:tr>
    </w:tbl>
    <w:p w:rsidR="002E6137" w:rsidRDefault="002E6137" w:rsidP="00CE31B9">
      <w:pPr>
        <w:pStyle w:val="BioNamesandTitles"/>
      </w:pPr>
    </w:p>
    <w:sectPr w:rsidR="002E6137" w:rsidSect="009E0233">
      <w:headerReference w:type="default" r:id="rId8"/>
      <w:footerReference w:type="default" r:id="rId9"/>
      <w:pgSz w:w="12240" w:h="15840" w:code="1"/>
      <w:pgMar w:top="2520" w:right="1080" w:bottom="1440" w:left="1080" w:header="108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15A" w:rsidRDefault="00C9315A">
      <w:r>
        <w:separator/>
      </w:r>
    </w:p>
  </w:endnote>
  <w:endnote w:type="continuationSeparator" w:id="0">
    <w:p w:rsidR="00C9315A" w:rsidRDefault="00C9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abon">
    <w:altName w:val="Courier New"/>
    <w:panose1 w:val="00000000000000000000"/>
    <w:charset w:val="00"/>
    <w:family w:val="roman"/>
    <w:notTrueType/>
    <w:pitch w:val="variable"/>
    <w:sig w:usb0="00000003" w:usb1="00000000" w:usb2="00000000" w:usb3="00000000" w:csb0="00000001" w:csb1="00000000"/>
  </w:font>
  <w:font w:name="Trade Gothic LT Std">
    <w:altName w:val="Courier New"/>
    <w:panose1 w:val="00000000000000000000"/>
    <w:charset w:val="00"/>
    <w:family w:val="modern"/>
    <w:notTrueType/>
    <w:pitch w:val="variable"/>
    <w:sig w:usb0="00000003" w:usb1="4000204A"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37" w:rsidRDefault="002E6137">
    <w:pPr>
      <w:pBdr>
        <w:top w:val="single" w:sz="2" w:space="1" w:color="auto"/>
      </w:pBdr>
      <w:tabs>
        <w:tab w:val="left" w:pos="1340"/>
        <w:tab w:val="left" w:pos="3210"/>
      </w:tabs>
      <w:spacing w:line="360" w:lineRule="exact"/>
      <w:jc w:val="right"/>
    </w:pPr>
    <w:r>
      <w:tab/>
    </w:r>
    <w:r>
      <w:tab/>
    </w:r>
    <w:r w:rsidR="004F557F">
      <w:rPr>
        <w:noProof/>
      </w:rPr>
      <w:drawing>
        <wp:inline distT="0" distB="0" distL="0" distR="0">
          <wp:extent cx="1600200" cy="171450"/>
          <wp:effectExtent l="19050" t="0" r="0" b="0"/>
          <wp:docPr id="2" name="Picture 2" descr="BT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T_600"/>
                  <pic:cNvPicPr>
                    <a:picLocks noChangeAspect="1" noChangeArrowheads="1"/>
                  </pic:cNvPicPr>
                </pic:nvPicPr>
                <pic:blipFill>
                  <a:blip r:embed="rId1"/>
                  <a:srcRect/>
                  <a:stretch>
                    <a:fillRect/>
                  </a:stretch>
                </pic:blipFill>
                <pic:spPr bwMode="auto">
                  <a:xfrm>
                    <a:off x="0" y="0"/>
                    <a:ext cx="1600200" cy="171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15A" w:rsidRDefault="00C9315A">
      <w:r>
        <w:separator/>
      </w:r>
    </w:p>
  </w:footnote>
  <w:footnote w:type="continuationSeparator" w:id="0">
    <w:p w:rsidR="00C9315A" w:rsidRDefault="00C93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37" w:rsidRPr="00406201" w:rsidRDefault="002E6137" w:rsidP="007B0F49">
    <w:pPr>
      <w:pStyle w:val="Pageheading"/>
      <w:spacing w:after="0" w:line="480" w:lineRule="exact"/>
      <w:ind w:right="-86"/>
      <w:rPr>
        <w:rFonts w:ascii="Trade Gothic LT Std" w:hAnsi="Trade Gothic LT Std"/>
        <w:b/>
        <w:color w:val="2D6411"/>
      </w:rPr>
    </w:pPr>
    <w:r w:rsidRPr="00406201">
      <w:rPr>
        <w:color w:val="2D6411"/>
      </w:rPr>
      <w:t>Selected Biographies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B54E72A"/>
    <w:lvl w:ilvl="0">
      <w:start w:val="1"/>
      <w:numFmt w:val="decimal"/>
      <w:lvlText w:val="%1."/>
      <w:lvlJc w:val="left"/>
      <w:pPr>
        <w:tabs>
          <w:tab w:val="num" w:pos="1800"/>
        </w:tabs>
        <w:ind w:left="1800" w:hanging="360"/>
      </w:pPr>
    </w:lvl>
  </w:abstractNum>
  <w:abstractNum w:abstractNumId="1">
    <w:nsid w:val="FFFFFF7D"/>
    <w:multiLevelType w:val="singleLevel"/>
    <w:tmpl w:val="EA543392"/>
    <w:lvl w:ilvl="0">
      <w:start w:val="1"/>
      <w:numFmt w:val="decimal"/>
      <w:lvlText w:val="%1."/>
      <w:lvlJc w:val="left"/>
      <w:pPr>
        <w:tabs>
          <w:tab w:val="num" w:pos="1440"/>
        </w:tabs>
        <w:ind w:left="1440" w:hanging="360"/>
      </w:pPr>
    </w:lvl>
  </w:abstractNum>
  <w:abstractNum w:abstractNumId="2">
    <w:nsid w:val="FFFFFF7E"/>
    <w:multiLevelType w:val="singleLevel"/>
    <w:tmpl w:val="D9147B94"/>
    <w:lvl w:ilvl="0">
      <w:start w:val="1"/>
      <w:numFmt w:val="decimal"/>
      <w:lvlText w:val="%1."/>
      <w:lvlJc w:val="left"/>
      <w:pPr>
        <w:tabs>
          <w:tab w:val="num" w:pos="1080"/>
        </w:tabs>
        <w:ind w:left="1080" w:hanging="360"/>
      </w:pPr>
    </w:lvl>
  </w:abstractNum>
  <w:abstractNum w:abstractNumId="3">
    <w:nsid w:val="FFFFFF7F"/>
    <w:multiLevelType w:val="singleLevel"/>
    <w:tmpl w:val="CB96B0BC"/>
    <w:lvl w:ilvl="0">
      <w:start w:val="1"/>
      <w:numFmt w:val="decimal"/>
      <w:lvlText w:val="%1."/>
      <w:lvlJc w:val="left"/>
      <w:pPr>
        <w:tabs>
          <w:tab w:val="num" w:pos="720"/>
        </w:tabs>
        <w:ind w:left="720" w:hanging="360"/>
      </w:pPr>
    </w:lvl>
  </w:abstractNum>
  <w:abstractNum w:abstractNumId="4">
    <w:nsid w:val="FFFFFF88"/>
    <w:multiLevelType w:val="singleLevel"/>
    <w:tmpl w:val="3E52533E"/>
    <w:lvl w:ilvl="0">
      <w:start w:val="1"/>
      <w:numFmt w:val="decimal"/>
      <w:lvlText w:val="%1."/>
      <w:lvlJc w:val="left"/>
      <w:pPr>
        <w:tabs>
          <w:tab w:val="num" w:pos="360"/>
        </w:tabs>
        <w:ind w:left="360" w:hanging="360"/>
      </w:pPr>
    </w:lvl>
  </w:abstractNum>
  <w:abstractNum w:abstractNumId="5">
    <w:nsid w:val="7ADA443F"/>
    <w:multiLevelType w:val="hybridMultilevel"/>
    <w:tmpl w:val="9E7C730C"/>
    <w:lvl w:ilvl="0" w:tplc="4698BD54">
      <w:start w:val="5"/>
      <w:numFmt w:val="upperRoman"/>
      <w:lvlText w:val="%1."/>
      <w:lvlJc w:val="left"/>
      <w:pPr>
        <w:tabs>
          <w:tab w:val="num" w:pos="1080"/>
        </w:tabs>
        <w:ind w:left="1080" w:hanging="720"/>
      </w:pPr>
      <w:rPr>
        <w:rFonts w:hint="default"/>
      </w:rPr>
    </w:lvl>
    <w:lvl w:ilvl="1" w:tplc="DC925896" w:tentative="1">
      <w:start w:val="1"/>
      <w:numFmt w:val="lowerLetter"/>
      <w:lvlText w:val="%2."/>
      <w:lvlJc w:val="left"/>
      <w:pPr>
        <w:tabs>
          <w:tab w:val="num" w:pos="1440"/>
        </w:tabs>
        <w:ind w:left="1440" w:hanging="360"/>
      </w:pPr>
    </w:lvl>
    <w:lvl w:ilvl="2" w:tplc="0A5CCDD8" w:tentative="1">
      <w:start w:val="1"/>
      <w:numFmt w:val="lowerRoman"/>
      <w:lvlText w:val="%3."/>
      <w:lvlJc w:val="right"/>
      <w:pPr>
        <w:tabs>
          <w:tab w:val="num" w:pos="2160"/>
        </w:tabs>
        <w:ind w:left="2160" w:hanging="180"/>
      </w:pPr>
    </w:lvl>
    <w:lvl w:ilvl="3" w:tplc="5B16B184" w:tentative="1">
      <w:start w:val="1"/>
      <w:numFmt w:val="decimal"/>
      <w:lvlText w:val="%4."/>
      <w:lvlJc w:val="left"/>
      <w:pPr>
        <w:tabs>
          <w:tab w:val="num" w:pos="2880"/>
        </w:tabs>
        <w:ind w:left="2880" w:hanging="360"/>
      </w:pPr>
    </w:lvl>
    <w:lvl w:ilvl="4" w:tplc="89088B10" w:tentative="1">
      <w:start w:val="1"/>
      <w:numFmt w:val="lowerLetter"/>
      <w:lvlText w:val="%5."/>
      <w:lvlJc w:val="left"/>
      <w:pPr>
        <w:tabs>
          <w:tab w:val="num" w:pos="3600"/>
        </w:tabs>
        <w:ind w:left="3600" w:hanging="360"/>
      </w:pPr>
    </w:lvl>
    <w:lvl w:ilvl="5" w:tplc="76DE991E" w:tentative="1">
      <w:start w:val="1"/>
      <w:numFmt w:val="lowerRoman"/>
      <w:lvlText w:val="%6."/>
      <w:lvlJc w:val="right"/>
      <w:pPr>
        <w:tabs>
          <w:tab w:val="num" w:pos="4320"/>
        </w:tabs>
        <w:ind w:left="4320" w:hanging="180"/>
      </w:pPr>
    </w:lvl>
    <w:lvl w:ilvl="6" w:tplc="92E01474" w:tentative="1">
      <w:start w:val="1"/>
      <w:numFmt w:val="decimal"/>
      <w:lvlText w:val="%7."/>
      <w:lvlJc w:val="left"/>
      <w:pPr>
        <w:tabs>
          <w:tab w:val="num" w:pos="5040"/>
        </w:tabs>
        <w:ind w:left="5040" w:hanging="360"/>
      </w:pPr>
    </w:lvl>
    <w:lvl w:ilvl="7" w:tplc="04466AFE" w:tentative="1">
      <w:start w:val="1"/>
      <w:numFmt w:val="lowerLetter"/>
      <w:lvlText w:val="%8."/>
      <w:lvlJc w:val="left"/>
      <w:pPr>
        <w:tabs>
          <w:tab w:val="num" w:pos="5760"/>
        </w:tabs>
        <w:ind w:left="5760" w:hanging="360"/>
      </w:pPr>
    </w:lvl>
    <w:lvl w:ilvl="8" w:tplc="2F9485F4"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E0233"/>
    <w:rsid w:val="00092D84"/>
    <w:rsid w:val="00122395"/>
    <w:rsid w:val="00177D66"/>
    <w:rsid w:val="001E7DBB"/>
    <w:rsid w:val="001F48DA"/>
    <w:rsid w:val="00253FC6"/>
    <w:rsid w:val="00296218"/>
    <w:rsid w:val="002A5AC6"/>
    <w:rsid w:val="002B5A0C"/>
    <w:rsid w:val="002E34C7"/>
    <w:rsid w:val="002E6137"/>
    <w:rsid w:val="002E72F3"/>
    <w:rsid w:val="002F5515"/>
    <w:rsid w:val="00304825"/>
    <w:rsid w:val="00334736"/>
    <w:rsid w:val="0038573C"/>
    <w:rsid w:val="003D0593"/>
    <w:rsid w:val="00406201"/>
    <w:rsid w:val="00415246"/>
    <w:rsid w:val="0042662F"/>
    <w:rsid w:val="004F557F"/>
    <w:rsid w:val="00526904"/>
    <w:rsid w:val="0054111A"/>
    <w:rsid w:val="00563058"/>
    <w:rsid w:val="005B7534"/>
    <w:rsid w:val="005D0097"/>
    <w:rsid w:val="00601B3C"/>
    <w:rsid w:val="00617B6B"/>
    <w:rsid w:val="006229FA"/>
    <w:rsid w:val="00652523"/>
    <w:rsid w:val="006D200D"/>
    <w:rsid w:val="006D61AF"/>
    <w:rsid w:val="00715101"/>
    <w:rsid w:val="00725501"/>
    <w:rsid w:val="00750D84"/>
    <w:rsid w:val="007B0F49"/>
    <w:rsid w:val="00990F7A"/>
    <w:rsid w:val="009E0233"/>
    <w:rsid w:val="009E4F36"/>
    <w:rsid w:val="00A559DF"/>
    <w:rsid w:val="00A73008"/>
    <w:rsid w:val="00A827F9"/>
    <w:rsid w:val="00AA6001"/>
    <w:rsid w:val="00B82F2B"/>
    <w:rsid w:val="00B84C20"/>
    <w:rsid w:val="00BB6E87"/>
    <w:rsid w:val="00C614FE"/>
    <w:rsid w:val="00C9315A"/>
    <w:rsid w:val="00CE31B9"/>
    <w:rsid w:val="00CF3E67"/>
    <w:rsid w:val="00D734CB"/>
    <w:rsid w:val="00D92717"/>
    <w:rsid w:val="00E02CB6"/>
    <w:rsid w:val="00E467C1"/>
    <w:rsid w:val="00E704BE"/>
    <w:rsid w:val="00E85888"/>
    <w:rsid w:val="00FF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0C9451-EE40-4F0B-9CD4-14EE30D1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7C1"/>
    <w:pPr>
      <w:spacing w:after="120" w:line="280" w:lineRule="exact"/>
    </w:pPr>
    <w:rPr>
      <w:rFonts w:ascii="Sabon" w:hAnsi="Sabon"/>
      <w:color w:val="000000"/>
    </w:rPr>
  </w:style>
  <w:style w:type="paragraph" w:styleId="Heading1">
    <w:name w:val="heading 1"/>
    <w:basedOn w:val="Normal"/>
    <w:next w:val="Normal"/>
    <w:qFormat/>
    <w:rsid w:val="00E467C1"/>
    <w:pPr>
      <w:keepNext/>
      <w:spacing w:after="1200" w:line="400" w:lineRule="exact"/>
      <w:outlineLvl w:val="0"/>
    </w:pPr>
    <w:rPr>
      <w:sz w:val="40"/>
    </w:rPr>
  </w:style>
  <w:style w:type="paragraph" w:styleId="Heading2">
    <w:name w:val="heading 2"/>
    <w:basedOn w:val="Normal"/>
    <w:next w:val="Normal"/>
    <w:qFormat/>
    <w:rsid w:val="00E467C1"/>
    <w:pPr>
      <w:keepNext/>
      <w:spacing w:before="40" w:after="40" w:line="170" w:lineRule="exact"/>
      <w:jc w:val="center"/>
      <w:outlineLvl w:val="1"/>
    </w:pPr>
    <w:rPr>
      <w:rFonts w:ascii="Trade Gothic LT Std" w:hAnsi="Trade Gothic LT Std"/>
      <w:b/>
      <w:sz w:val="14"/>
    </w:rPr>
  </w:style>
  <w:style w:type="paragraph" w:styleId="Heading3">
    <w:name w:val="heading 3"/>
    <w:basedOn w:val="Normal"/>
    <w:next w:val="Normal"/>
    <w:qFormat/>
    <w:rsid w:val="00E467C1"/>
    <w:pPr>
      <w:keepNext/>
      <w:tabs>
        <w:tab w:val="center" w:pos="2061"/>
      </w:tabs>
      <w:spacing w:after="30" w:line="240" w:lineRule="exact"/>
      <w:outlineLvl w:val="2"/>
    </w:pPr>
    <w:rPr>
      <w:rFonts w:ascii="Trade Gothic LT Std" w:hAnsi="Trade Gothic LT Std"/>
      <w:b/>
      <w:sz w:val="16"/>
    </w:rPr>
  </w:style>
  <w:style w:type="paragraph" w:styleId="Heading4">
    <w:name w:val="heading 4"/>
    <w:basedOn w:val="Normal"/>
    <w:next w:val="Normal"/>
    <w:qFormat/>
    <w:rsid w:val="00E467C1"/>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3"/>
    </w:pPr>
    <w:rPr>
      <w:rFonts w:ascii="Trade Gothic LT Std" w:hAnsi="Trade Gothic LT Std"/>
      <w:b/>
    </w:rPr>
  </w:style>
  <w:style w:type="paragraph" w:styleId="Heading8">
    <w:name w:val="heading 8"/>
    <w:basedOn w:val="Normal"/>
    <w:next w:val="Normal"/>
    <w:qFormat/>
    <w:rsid w:val="00415246"/>
    <w:pPr>
      <w:keepNext/>
      <w:jc w:val="center"/>
      <w:outlineLvl w:val="7"/>
    </w:pPr>
    <w:rPr>
      <w:rFonts w:ascii="Trade Gothic LT Std Light" w:hAnsi="Trade Gothic LT Std Light"/>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Heading1"/>
    <w:next w:val="Normal"/>
    <w:rsid w:val="00E467C1"/>
  </w:style>
  <w:style w:type="paragraph" w:styleId="BalloonText">
    <w:name w:val="Balloon Text"/>
    <w:basedOn w:val="Normal"/>
    <w:link w:val="BalloonTextChar"/>
    <w:rsid w:val="00296218"/>
    <w:pPr>
      <w:spacing w:after="0" w:line="240" w:lineRule="auto"/>
    </w:pPr>
    <w:rPr>
      <w:rFonts w:ascii="Tahoma" w:hAnsi="Tahoma" w:cs="Tahoma"/>
      <w:sz w:val="16"/>
      <w:szCs w:val="16"/>
    </w:rPr>
  </w:style>
  <w:style w:type="paragraph" w:customStyle="1" w:styleId="LargeNamesandTitles">
    <w:name w:val="Large_Names and Titles"/>
    <w:rsid w:val="00E467C1"/>
    <w:pPr>
      <w:keepNext/>
      <w:widowControl w:val="0"/>
      <w:spacing w:line="270" w:lineRule="exact"/>
    </w:pPr>
    <w:rPr>
      <w:rFonts w:ascii="Trade Gothic LT Std" w:hAnsi="Trade Gothic LT Std"/>
      <w:b/>
      <w:noProof/>
      <w:sz w:val="19"/>
    </w:rPr>
  </w:style>
  <w:style w:type="paragraph" w:customStyle="1" w:styleId="Photos">
    <w:name w:val="Photo's"/>
    <w:basedOn w:val="LargeNamesandTitles"/>
    <w:rsid w:val="00E467C1"/>
    <w:pPr>
      <w:spacing w:before="60" w:line="2800" w:lineRule="exact"/>
      <w:ind w:left="-115"/>
    </w:pPr>
  </w:style>
  <w:style w:type="paragraph" w:customStyle="1" w:styleId="BioTextLastParagraph">
    <w:name w:val="Bio Text Last Paragraph"/>
    <w:basedOn w:val="BioText"/>
    <w:rsid w:val="00E467C1"/>
    <w:pPr>
      <w:spacing w:after="200"/>
    </w:pPr>
  </w:style>
  <w:style w:type="paragraph" w:styleId="Header">
    <w:name w:val="header"/>
    <w:basedOn w:val="Normal"/>
    <w:rsid w:val="007B0F49"/>
    <w:pPr>
      <w:tabs>
        <w:tab w:val="center" w:pos="4320"/>
        <w:tab w:val="right" w:pos="8640"/>
      </w:tabs>
    </w:pPr>
  </w:style>
  <w:style w:type="paragraph" w:styleId="Footer">
    <w:name w:val="footer"/>
    <w:basedOn w:val="Normal"/>
    <w:rsid w:val="007B0F49"/>
    <w:pPr>
      <w:tabs>
        <w:tab w:val="center" w:pos="4320"/>
        <w:tab w:val="right" w:pos="8640"/>
      </w:tabs>
    </w:pPr>
  </w:style>
  <w:style w:type="paragraph" w:customStyle="1" w:styleId="BioText">
    <w:name w:val="Bio Text"/>
    <w:basedOn w:val="Normal"/>
    <w:link w:val="BioTextChar"/>
    <w:rsid w:val="00CE31B9"/>
    <w:pPr>
      <w:keepNext/>
      <w:widowControl w:val="0"/>
      <w:spacing w:line="270" w:lineRule="exact"/>
    </w:pPr>
    <w:rPr>
      <w:rFonts w:eastAsia="Times New Roman"/>
      <w:color w:val="auto"/>
      <w:sz w:val="22"/>
    </w:rPr>
  </w:style>
  <w:style w:type="paragraph" w:customStyle="1" w:styleId="BioNamesandTitles">
    <w:name w:val="Bio Names and Titles"/>
    <w:rsid w:val="00CE31B9"/>
    <w:pPr>
      <w:keepNext/>
      <w:widowControl w:val="0"/>
      <w:spacing w:after="30" w:line="300" w:lineRule="exact"/>
    </w:pPr>
    <w:rPr>
      <w:rFonts w:ascii="Trade Gothic LT Std" w:hAnsi="Trade Gothic LT Std"/>
      <w:b/>
      <w:noProof/>
      <w:color w:val="2D6411"/>
      <w:sz w:val="21"/>
    </w:rPr>
  </w:style>
  <w:style w:type="character" w:customStyle="1" w:styleId="BioTextChar">
    <w:name w:val="Bio Text Char"/>
    <w:basedOn w:val="DefaultParagraphFont"/>
    <w:link w:val="BioText"/>
    <w:rsid w:val="00CE31B9"/>
    <w:rPr>
      <w:rFonts w:ascii="Sabon" w:hAnsi="Sabon"/>
      <w:sz w:val="22"/>
      <w:lang w:val="en-US" w:eastAsia="en-US" w:bidi="ar-SA"/>
    </w:rPr>
  </w:style>
  <w:style w:type="character" w:customStyle="1" w:styleId="BalloonTextChar">
    <w:name w:val="Balloon Text Char"/>
    <w:basedOn w:val="DefaultParagraphFont"/>
    <w:link w:val="BalloonText"/>
    <w:rsid w:val="00296218"/>
    <w:rPr>
      <w:rFonts w:ascii="Tahoma" w:hAnsi="Tahoma" w:cs="Tahoma"/>
      <w:color w:val="000000"/>
      <w:sz w:val="16"/>
      <w:szCs w:val="16"/>
    </w:rPr>
  </w:style>
  <w:style w:type="paragraph" w:customStyle="1" w:styleId="LargeBioTextLast">
    <w:name w:val="Large_Bio Text Last"/>
    <w:basedOn w:val="Normal"/>
    <w:rsid w:val="00652523"/>
    <w:pPr>
      <w:keepNext/>
      <w:widowControl w:val="0"/>
      <w:spacing w:after="200" w:line="270" w:lineRule="exact"/>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67225">
      <w:bodyDiv w:val="1"/>
      <w:marLeft w:val="0"/>
      <w:marRight w:val="0"/>
      <w:marTop w:val="0"/>
      <w:marBottom w:val="0"/>
      <w:divBdr>
        <w:top w:val="none" w:sz="0" w:space="0" w:color="auto"/>
        <w:left w:val="none" w:sz="0" w:space="0" w:color="auto"/>
        <w:bottom w:val="none" w:sz="0" w:space="0" w:color="auto"/>
        <w:right w:val="none" w:sz="0" w:space="0" w:color="auto"/>
      </w:divBdr>
    </w:div>
    <w:div w:id="130812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pkins\Local%20Settings\Temporary%20Internet%20Files\OLK11\11_22_05_Bios_Seaman_l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11_22_05_Bios_Seaman_lg</Template>
  <TotalTime>1</TotalTime>
  <Pages>1</Pages>
  <Words>301</Words>
  <Characters>1719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Approved on , 2003</vt:lpstr>
    </vt:vector>
  </TitlesOfParts>
  <Company>Cassuto Design</Company>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on , 2003</dc:title>
  <dc:creator>Hopkins</dc:creator>
  <cp:lastModifiedBy>Carol Bangash</cp:lastModifiedBy>
  <cp:revision>2</cp:revision>
  <cp:lastPrinted>2005-11-22T16:04:00Z</cp:lastPrinted>
  <dcterms:created xsi:type="dcterms:W3CDTF">2015-04-24T18:56:00Z</dcterms:created>
  <dcterms:modified xsi:type="dcterms:W3CDTF">2015-04-24T18:56:00Z</dcterms:modified>
</cp:coreProperties>
</file>